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5D1" w:rsidRPr="00BB25D1" w:rsidRDefault="00BB25D1" w:rsidP="00BB25D1">
      <w:pPr>
        <w:widowControl w:val="0"/>
        <w:jc w:val="right"/>
        <w:rPr>
          <w:rFonts w:ascii="Times New Roman" w:hAnsi="Times New Roman" w:cs="Times New Roman"/>
          <w:bCs/>
          <w:szCs w:val="20"/>
        </w:rPr>
      </w:pPr>
      <w:r w:rsidRPr="00BB25D1">
        <w:rPr>
          <w:rFonts w:ascii="Times New Roman" w:hAnsi="Times New Roman" w:cs="Times New Roman"/>
          <w:bCs/>
          <w:szCs w:val="20"/>
        </w:rPr>
        <w:t xml:space="preserve">Приложение № </w:t>
      </w:r>
      <w:r w:rsidR="0015267C">
        <w:rPr>
          <w:rFonts w:ascii="Times New Roman" w:hAnsi="Times New Roman" w:cs="Times New Roman"/>
          <w:bCs/>
          <w:szCs w:val="20"/>
        </w:rPr>
        <w:t>1</w:t>
      </w:r>
    </w:p>
    <w:p w:rsidR="00BB25D1" w:rsidRPr="00BB25D1" w:rsidRDefault="00BB25D1" w:rsidP="00BB25D1">
      <w:pPr>
        <w:widowControl w:val="0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BB25D1">
        <w:rPr>
          <w:rFonts w:ascii="Times New Roman" w:hAnsi="Times New Roman" w:cs="Times New Roman"/>
          <w:b/>
          <w:sz w:val="20"/>
          <w:szCs w:val="16"/>
        </w:rPr>
        <w:t>АНКЕТА</w:t>
      </w:r>
    </w:p>
    <w:p w:rsidR="00BB25D1" w:rsidRPr="00BB25D1" w:rsidRDefault="00BB25D1" w:rsidP="00BB25D1"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 w:cs="Times New Roman"/>
          <w:b/>
          <w:sz w:val="20"/>
          <w:szCs w:val="16"/>
        </w:rPr>
        <w:t xml:space="preserve">для проведения интервью </w:t>
      </w:r>
      <w:r w:rsidRPr="00BB25D1"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  <w:t xml:space="preserve">с участниками отрасли </w:t>
      </w:r>
    </w:p>
    <w:p w:rsidR="00BB25D1" w:rsidRPr="00BB25D1" w:rsidRDefault="00BB25D1" w:rsidP="00BB25D1"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  <w:t xml:space="preserve">об эффективности мер по внедрению экономики </w:t>
      </w:r>
    </w:p>
    <w:p w:rsidR="00BB25D1" w:rsidRPr="00BB25D1" w:rsidRDefault="00BB25D1" w:rsidP="00BB25D1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  <w:t>замкнутого цикла в отраслях экономики</w:t>
      </w:r>
    </w:p>
    <w:p w:rsidR="00BB25D1" w:rsidRPr="00BB25D1" w:rsidRDefault="00BB25D1" w:rsidP="00BB25D1">
      <w:pPr>
        <w:widowControl w:val="0"/>
        <w:ind w:firstLine="567"/>
        <w:jc w:val="both"/>
        <w:rPr>
          <w:rFonts w:ascii="Times New Roman" w:hAnsi="Times New Roman" w:cs="Times New Roman"/>
          <w:sz w:val="20"/>
          <w:szCs w:val="16"/>
        </w:rPr>
      </w:pPr>
      <w:r w:rsidRPr="00BB25D1">
        <w:rPr>
          <w:rFonts w:ascii="Times New Roman" w:hAnsi="Times New Roman" w:cs="Times New Roman"/>
          <w:bCs/>
          <w:color w:val="000000" w:themeColor="text1"/>
          <w:sz w:val="20"/>
          <w:szCs w:val="18"/>
        </w:rPr>
        <w:t xml:space="preserve">Приглашаем Вас принять участие в экспертном опросе, посвященном отдельным аспектам перехода к экономике замкнутого цикла (ЭЗЦ) в России. </w:t>
      </w:r>
      <w:r w:rsidRPr="00BB25D1">
        <w:rPr>
          <w:rFonts w:ascii="Times New Roman" w:hAnsi="Times New Roman" w:cs="Times New Roman"/>
          <w:sz w:val="20"/>
          <w:szCs w:val="16"/>
        </w:rPr>
        <w:t xml:space="preserve">Данное исследование проводится с целью подготовки рекомендаций по совершенствованию существующих механизмов, направленных на переход к ЭЗЦ в России.  Пожалуйста, укажите в каждом вопросе вариант ответа, который соответствует Вашему личному мнению. </w:t>
      </w:r>
    </w:p>
    <w:p w:rsidR="00BB25D1" w:rsidRPr="00BB25D1" w:rsidRDefault="00BB25D1" w:rsidP="00BB25D1"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К какой сфере относится Ваша профессиональная деятельность: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  <w:t>черная и цветная металлургия;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горнодобывающая промышленность (кроме ТЭК);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x-none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нефтегазовая промышленность;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угольная промышленность;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химическая промышленность;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электронная промышленность и микроэлектроника;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пищевая промышленность;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x-none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лесопромышленный комплекс;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сельское хозяйство;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электроэнергетика, включая энергетику на основе ВИЭ;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обращение с отходами;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жилищно-коммунальное хозяйство;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строительство;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  <w:lang w:val="en-US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оптовая и розничная торговля;</w:t>
      </w:r>
    </w:p>
    <w:p w:rsidR="00BB25D1" w:rsidRPr="00BB25D1" w:rsidRDefault="00BB25D1" w:rsidP="00BB25D1">
      <w:pPr>
        <w:widowControl w:val="0"/>
        <w:numPr>
          <w:ilvl w:val="1"/>
          <w:numId w:val="2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иное (наука, аналитическая деятельность, общественные и иные некоммерческие организации)</w:t>
      </w:r>
    </w:p>
    <w:p w:rsidR="00BB25D1" w:rsidRPr="00BB25D1" w:rsidRDefault="00BB25D1" w:rsidP="00BB25D1">
      <w:pPr>
        <w:spacing w:line="276" w:lineRule="auto"/>
        <w:ind w:left="993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 xml:space="preserve">Мы будем признательны, если Вы укажете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 xml:space="preserve">контактные данные для связи с Вами (мы хотели бы иметь возможность задать уточняющие вопросы) </w:t>
      </w:r>
    </w:p>
    <w:p w:rsidR="00BB25D1" w:rsidRPr="00BB25D1" w:rsidRDefault="00BB25D1" w:rsidP="00BB25D1">
      <w:pPr>
        <w:widowControl w:val="0"/>
        <w:jc w:val="both"/>
        <w:rPr>
          <w:rFonts w:ascii="Circe Bold" w:hAnsi="Circe Bold"/>
          <w:bCs/>
          <w:color w:val="000000" w:themeColor="text1"/>
          <w:sz w:val="16"/>
          <w:szCs w:val="18"/>
        </w:rPr>
      </w:pPr>
      <w:r w:rsidRPr="00BB25D1">
        <w:rPr>
          <w:rFonts w:ascii="Circe Bold" w:hAnsi="Circe Bold"/>
          <w:bCs/>
          <w:color w:val="000000" w:themeColor="text1"/>
          <w:sz w:val="16"/>
          <w:szCs w:val="18"/>
          <w:lang w:val="en-US"/>
        </w:rPr>
        <w:t>_____________________________________________________________________________________________________________________</w:t>
      </w:r>
    </w:p>
    <w:p w:rsidR="00BB25D1" w:rsidRPr="00BB25D1" w:rsidRDefault="00BB25D1" w:rsidP="00BB25D1">
      <w:pPr>
        <w:spacing w:line="276" w:lineRule="auto"/>
        <w:ind w:left="66"/>
        <w:jc w:val="both"/>
        <w:rPr>
          <w:rFonts w:ascii="Circe Bold" w:hAnsi="Circe Bold"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 xml:space="preserve">В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каких</w:t>
      </w: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 xml:space="preserve"> субъектах Российской Федерации Ваша компания осуществляет свою деятельность:</w:t>
      </w:r>
    </w:p>
    <w:p w:rsidR="00BB25D1" w:rsidRPr="00BB25D1" w:rsidRDefault="00BB25D1" w:rsidP="00BB25D1">
      <w:pPr>
        <w:widowControl w:val="0"/>
        <w:jc w:val="both"/>
        <w:rPr>
          <w:rFonts w:ascii="Circe Bold" w:hAnsi="Circe Bold"/>
          <w:bCs/>
          <w:color w:val="000000" w:themeColor="text1"/>
          <w:sz w:val="16"/>
          <w:szCs w:val="18"/>
          <w:lang w:val="en-US"/>
        </w:rPr>
      </w:pPr>
      <w:r w:rsidRPr="00BB25D1">
        <w:rPr>
          <w:rFonts w:ascii="Circe Bold" w:hAnsi="Circe Bold"/>
          <w:bCs/>
          <w:color w:val="000000" w:themeColor="text1"/>
          <w:sz w:val="16"/>
          <w:szCs w:val="18"/>
          <w:lang w:val="en-US"/>
        </w:rPr>
        <w:t>_____________________________________________________________________________________________________________________</w:t>
      </w:r>
    </w:p>
    <w:p w:rsidR="00BB25D1" w:rsidRPr="00BB25D1" w:rsidRDefault="00BB25D1" w:rsidP="00BB25D1">
      <w:pPr>
        <w:spacing w:line="276" w:lineRule="auto"/>
        <w:jc w:val="both"/>
        <w:rPr>
          <w:rFonts w:ascii="Circe Bold" w:hAnsi="Circe Bold"/>
          <w:b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Какую должность Вы занимаете в компании: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собственник бизнеса;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представитель высшего уровня руководящего состава компании (топ-менеджмент – генеральный директор, исполнительный директор, директор по устойчивому развитию и т.п.);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руководитель производственного подразделения предприятия;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сотрудник компании, не выполняющий управленческих функций;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сотрудник, уполномоченный в компании на организацию деятельности по обращению с отходами I – V классов опасности; </w:t>
      </w:r>
    </w:p>
    <w:p w:rsidR="00BB25D1" w:rsidRPr="00BB25D1" w:rsidRDefault="00BB25D1" w:rsidP="00BB25D1">
      <w:pPr>
        <w:widowControl w:val="0"/>
        <w:numPr>
          <w:ilvl w:val="1"/>
          <w:numId w:val="4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иное (научный сотрудник, член общественной организации и др.).</w:t>
      </w:r>
    </w:p>
    <w:p w:rsidR="00BB25D1" w:rsidRPr="00BB25D1" w:rsidRDefault="00BB25D1" w:rsidP="00BB25D1">
      <w:pPr>
        <w:spacing w:line="276" w:lineRule="auto"/>
        <w:ind w:left="993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Есть ли в Вашей компании опыт производства или использования продукции с содержанием вторичных ресурсов?</w:t>
      </w:r>
    </w:p>
    <w:p w:rsidR="00BB25D1" w:rsidRPr="00BB25D1" w:rsidRDefault="00BB25D1" w:rsidP="00BB25D1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Организация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производит и использует</w:t>
      </w: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продукцию с содержанием вторичных ресурсов;</w:t>
      </w:r>
    </w:p>
    <w:p w:rsidR="00BB25D1" w:rsidRPr="00BB25D1" w:rsidRDefault="00BB25D1" w:rsidP="00BB25D1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Организация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только производит</w:t>
      </w: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продукцию с содержанием вторичных ресурсов;</w:t>
      </w:r>
    </w:p>
    <w:p w:rsidR="00BB25D1" w:rsidRPr="00BB25D1" w:rsidRDefault="00BB25D1" w:rsidP="00BB25D1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Организация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только потребляет</w:t>
      </w: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продукцию с содержанием вторичных ресурсов;</w:t>
      </w:r>
    </w:p>
    <w:p w:rsidR="00BB25D1" w:rsidRPr="00BB25D1" w:rsidRDefault="00BB25D1" w:rsidP="00BB25D1">
      <w:pPr>
        <w:widowControl w:val="0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Организация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не</w:t>
      </w: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>производит и использует</w:t>
      </w: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 xml:space="preserve"> продукцию с содержанием вторичных ресурсов.</w:t>
      </w:r>
    </w:p>
    <w:p w:rsidR="00BB25D1" w:rsidRPr="00BB25D1" w:rsidRDefault="00BB25D1" w:rsidP="00BB25D1">
      <w:pPr>
        <w:spacing w:line="276" w:lineRule="auto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 w:cs="Times New Roman"/>
          <w:b/>
          <w:bCs/>
          <w:color w:val="000000" w:themeColor="text1"/>
          <w:sz w:val="20"/>
          <w:szCs w:val="18"/>
        </w:rPr>
        <w:t>Какие вторичные ресурсы или сырье использует ваша компания/организация?</w:t>
      </w:r>
    </w:p>
    <w:p w:rsidR="00BB25D1" w:rsidRPr="00BB25D1" w:rsidRDefault="00BB25D1" w:rsidP="00BB25D1">
      <w:pPr>
        <w:widowControl w:val="0"/>
        <w:numPr>
          <w:ilvl w:val="1"/>
          <w:numId w:val="3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вторичные ресурсы или сырье, полученные в рамках собственного производства;</w:t>
      </w:r>
    </w:p>
    <w:p w:rsidR="00BB25D1" w:rsidRPr="00BB25D1" w:rsidRDefault="00BB25D1" w:rsidP="00BB25D1">
      <w:pPr>
        <w:widowControl w:val="0"/>
        <w:numPr>
          <w:ilvl w:val="1"/>
          <w:numId w:val="3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вторичные ресурсы или сырье, закупаемые у сторонних компаний/предприятий;</w:t>
      </w:r>
    </w:p>
    <w:p w:rsidR="00BB25D1" w:rsidRDefault="00BB25D1" w:rsidP="00BB25D1">
      <w:pPr>
        <w:widowControl w:val="0"/>
        <w:numPr>
          <w:ilvl w:val="1"/>
          <w:numId w:val="3"/>
        </w:numPr>
        <w:spacing w:line="276" w:lineRule="auto"/>
        <w:ind w:left="993" w:hanging="567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вторичные ресурсы или сырье не используются.</w:t>
      </w:r>
    </w:p>
    <w:p w:rsidR="00BB25D1" w:rsidRPr="00BB25D1" w:rsidRDefault="00BB25D1" w:rsidP="00BB25D1">
      <w:pPr>
        <w:widowControl w:val="0"/>
        <w:spacing w:line="276" w:lineRule="auto"/>
        <w:ind w:left="993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lastRenderedPageBreak/>
        <w:t xml:space="preserve">Обозначьте, пожалуйста, приоритетные вторичные ресурсы или побочные продукты, которые, на Ваш взгляд, </w:t>
      </w: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обладают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 xml:space="preserve"> наибольшим потенциалом вовлечения в экономику (с точки зрения объемов производства, использования или экономической целесообразности):</w:t>
      </w:r>
    </w:p>
    <w:p w:rsidR="00BB25D1" w:rsidRPr="00BB25D1" w:rsidRDefault="00BB25D1" w:rsidP="00BB25D1">
      <w:pPr>
        <w:widowControl w:val="0"/>
        <w:jc w:val="both"/>
        <w:rPr>
          <w:rFonts w:ascii="Circe Bold" w:hAnsi="Circe Bold"/>
          <w:bCs/>
          <w:color w:val="000000" w:themeColor="text1"/>
          <w:sz w:val="16"/>
          <w:szCs w:val="18"/>
          <w:lang w:val="en-US"/>
        </w:rPr>
      </w:pPr>
      <w:r w:rsidRPr="00BB25D1">
        <w:rPr>
          <w:rFonts w:ascii="Circe Bold" w:hAnsi="Circe Bold"/>
          <w:bCs/>
          <w:color w:val="000000" w:themeColor="text1"/>
          <w:sz w:val="16"/>
          <w:szCs w:val="18"/>
          <w:lang w:val="en-US"/>
        </w:rPr>
        <w:t>________________________________________________________________________________________________________________________</w:t>
      </w:r>
    </w:p>
    <w:p w:rsidR="00BB25D1" w:rsidRPr="00BB25D1" w:rsidRDefault="00BB25D1" w:rsidP="00BB25D1">
      <w:pPr>
        <w:widowControl w:val="0"/>
        <w:numPr>
          <w:ilvl w:val="0"/>
          <w:numId w:val="1"/>
        </w:numPr>
        <w:spacing w:before="240"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Ниже приведен перечень утверждений о барьерах и нерешенных проблемах, существующих в России в сфере экономики замкнутого цикла. Приведите, пожалуйста, примеры случаев по указанным направлениям, которые, на Ваш взгляд, затрудняют внедрение практик ЭЗЦ в России.</w:t>
      </w:r>
    </w:p>
    <w:p w:rsidR="00BB25D1" w:rsidRPr="00BB25D1" w:rsidRDefault="00BB25D1" w:rsidP="00BB25D1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01"/>
        <w:gridCol w:w="6907"/>
        <w:gridCol w:w="2126"/>
      </w:tblGrid>
      <w:tr w:rsidR="00BB25D1" w:rsidRPr="00BB25D1" w:rsidTr="00BB25D1">
        <w:trPr>
          <w:tblHeader/>
        </w:trPr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  <w:lang w:val="en-US"/>
              </w:rPr>
              <w:t>№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BB25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Проблемы и барьеры по переходу к ЭЗЦ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 w:rsidRPr="00BB25D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ДА/НЕТ и примеры</w:t>
            </w:r>
          </w:p>
        </w:tc>
      </w:tr>
      <w:tr w:rsidR="00BB25D1" w:rsidRPr="00BB25D1" w:rsidTr="00BB25D1">
        <w:tc>
          <w:tcPr>
            <w:tcW w:w="601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6907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Нормативные барьеры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Недостаточное развитие и применение стандартов, нормативов, ИТС НДТ</w:t>
            </w:r>
            <w:r w:rsidRPr="00BB25D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1"/>
            </w: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 по применению вторичных ресурсов и сырья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Тут и далее приведите, пожалуйста, примеры – какие стандарты, нормативы ограничивают внедрение, недостаточно проработаны</w:t>
            </w: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Отсутствуют обязательные и рекомендуемые требования для повышения использования вторичных ресурсов или вторичного сырья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Отсутствует обязательная экологическая маркировка и указание доли вторичного сырья в товарах и материалах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1.4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Отсутствует комплексный подход по внедрению ЭЗЦ на каждом этапе жизненного цикла продукта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1.5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Отсутствуют требования по ведению</w:t>
            </w:r>
            <w:r w:rsidRPr="00BB25D1">
              <w:rPr>
                <w:rFonts w:ascii="Circe Bold" w:hAnsi="Circe Bold"/>
                <w:sz w:val="18"/>
                <w:szCs w:val="18"/>
              </w:rPr>
              <w:t xml:space="preserve"> </w:t>
            </w: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цифровых паспортов продуктов и материалов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1.6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Отсутствуют меры для стимулирования продления сроков службы продукции, предлагаемой потребителям, например штрафы и иные санкции за практики по намеренному, запланированному сокращению сроков службы продукции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1.7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Технологические требования действующих стандартов по использованию вторичного сырья не учитывают региональную специфику образования отходов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1.8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или недостаточная проработка региональных программ по вовлечению вторичных ресурсов в оборот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1.9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или недостаточная проработка отраслевых программ по вовлечению вторичных ресурсов в оборот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 установлены конкретные значения минимальных требований по доле вторичного сырья в товарах при государственных и муниципальных закупках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1.1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Экологические требования к материалам, закупаемым за счет бюджета, не учитывают разнообразные «зеленые» требования к поставщику и процессам производства/транспортировки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1.1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Сложные требования по лицензированию деятельности по обращению с отходами и необходимые для него государственная экологическая экспертиза и санитарно-эпидемиологическое заключение (в случае приобретения вторичных ресурсов/отходов в местах их образования)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1.13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требований по использованию вторичных ресурсов в сырье и материалах на этапе формирования проектных решений при строительстве сооружений, дорожном строительстве и др.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6907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/>
                <w:sz w:val="18"/>
                <w:szCs w:val="18"/>
              </w:rPr>
              <w:t>Недостаточные меры поддержки и стимулирования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Недостаточные меры поддержки переработчиков вторичных ресурсов (налоговые стимулы, субсидирование кредитов, субсидирование закупок оборудования и проч.)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Недостаточные меры поддержки непосредственно производителей материалов с использованием вторичного сырья (налоговые стимулы, субсидирование кредитов, субсидирование закупок оборудования и проч.)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Недостаточные меры стимулирования бизнеса для вовлечения в оборот вторичных ресурсов, переработки отходов, минимизации образования отходов и максимальному их направлению на переработку (а не захоронение или энергетическую утилизацию)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2.5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мер поддержки МСП в сфере переработки вторичных ресурсов и использования вторичного сырья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2.6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инициатив, стимулирующих и тестирующих новые инновационные методы переработки и повторного использования отходов в рамках государственно-частного партнерства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2.7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Наличие ограничений в получении федеральных мер поддержки в зависимости от региона осуществления деятельности компании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6907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Экономические ограничения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3.1 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Низкий или отсутствующий спрос на вторичные ресурсы и вторичное сырье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Низкие тарифы на захоронение отходов (дешевле захоранивать, чем вовлекать во вторичный оборот)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Низкие тарифы на прием смешанных (несортированных) отходов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Низкие штрафы за несанкционированные свалки и нарушение требований по обращению с отходами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Большой срок окупаемости проектов по переработке отходов и по производству материалов с использованием вторичного сырья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Нехватка мощностей по переработке отходов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Высокие транспортные издержки на перевозку отходов от образователя отходов до переработчика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Нестабильные поставки вторичных ресурсов, низкая загрузка мощностей у переработчиков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В полной мере не работают площадки Биржи вторичных ресурсов, покупатели и продавцы не находят друг друга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Низкая стоимость первичных материалов по сравнению со вторичными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3.1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Низкий спрос на продукцию на основе вторичного сырья (отсутствие экономических и иных стимулов у потребителей для использования продукции на основе вторичного сырья)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3.1</w:t>
            </w: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единой системы мониторинга и учета использования вторичных ресурсов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6907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Технологические ограничения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4.1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Высокая стоимость внедрения инновационных методов производства с использованием вторичного сырья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4.2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конкурентоспособного (по цене, качеству и функционалу) отечественного оборудования для переработки отходов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4.3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Высокая стоимость, сложности с приобретением и последующим обслуживанием и ремонтом иностранного оборудования для переработки отходов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4.4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Немасштабируемость пилотных проектов по применению вторичных ресурсов по субъектам РФ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Отсутствие требований по сертификации переработанных материалов и ограниченный спектр их применения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Низкое (не подходящее для технологического процесса) качество вторичного сырья (по сравнению с первичным), получаемого при современных доступных/используемых в России технологиях переработки отходов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6907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Ограниченность знаний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5.1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Нехватка компетентных кадров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5.2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Недостаточная работа по проведению информационно-просветительной кампании внедрения ЭЗЦ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5.3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>Незаинтересованность бизнеса во внедрении ЭЗЦ в силу отсутствия понимания собственной выгоды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  <w:tr w:rsidR="00BB25D1" w:rsidRPr="00BB25D1" w:rsidTr="00BB25D1">
        <w:tc>
          <w:tcPr>
            <w:tcW w:w="601" w:type="dxa"/>
          </w:tcPr>
          <w:p w:rsidR="00BB25D1" w:rsidRPr="00BB25D1" w:rsidRDefault="00BB25D1" w:rsidP="00BB25D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BB25D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5.4</w:t>
            </w:r>
          </w:p>
        </w:tc>
        <w:tc>
          <w:tcPr>
            <w:tcW w:w="6907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25D1"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Ограниченная финансовая поддержка проведения научно-опытных работ по применению вторичного сырья </w:t>
            </w:r>
          </w:p>
        </w:tc>
        <w:tc>
          <w:tcPr>
            <w:tcW w:w="2126" w:type="dxa"/>
          </w:tcPr>
          <w:p w:rsidR="00BB25D1" w:rsidRPr="00BB25D1" w:rsidRDefault="00BB25D1" w:rsidP="00BB25D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x-none"/>
              </w:rPr>
            </w:pPr>
          </w:p>
        </w:tc>
      </w:tr>
    </w:tbl>
    <w:p w:rsidR="00BB25D1" w:rsidRPr="00BB25D1" w:rsidRDefault="00BB25D1" w:rsidP="00BB25D1">
      <w:pPr>
        <w:widowControl w:val="0"/>
        <w:jc w:val="both"/>
        <w:rPr>
          <w:rFonts w:ascii="Circe Bold" w:hAnsi="Circe Bold"/>
          <w:b/>
          <w:sz w:val="20"/>
          <w:szCs w:val="20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Какие дополнительные нерешенные проблемы и барьеры, препятствующие переходу к экономике замкнутого цикла в России, Вы можете назвать?</w:t>
      </w:r>
    </w:p>
    <w:p w:rsidR="00BB25D1" w:rsidRPr="00BB25D1" w:rsidRDefault="00BB25D1" w:rsidP="00BB25D1">
      <w:pPr>
        <w:widowControl w:val="0"/>
        <w:jc w:val="both"/>
        <w:rPr>
          <w:rFonts w:ascii="Circe Bold" w:hAnsi="Circe Bold"/>
          <w:bCs/>
          <w:color w:val="000000" w:themeColor="text1"/>
          <w:sz w:val="16"/>
          <w:szCs w:val="18"/>
          <w:lang w:val="en-US"/>
        </w:rPr>
      </w:pPr>
      <w:r w:rsidRPr="00BB25D1">
        <w:rPr>
          <w:rFonts w:ascii="Circe Bold" w:hAnsi="Circe Bold"/>
          <w:bCs/>
          <w:color w:val="000000" w:themeColor="text1"/>
          <w:sz w:val="16"/>
          <w:szCs w:val="18"/>
          <w:lang w:val="en-US"/>
        </w:rPr>
        <w:t>_____________________________________________________________________________________________________________________</w:t>
      </w:r>
    </w:p>
    <w:p w:rsidR="00BB25D1" w:rsidRPr="00BB25D1" w:rsidRDefault="00BB25D1" w:rsidP="00BB25D1">
      <w:pPr>
        <w:widowControl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Какие первоочередные мероприятия для дальнейшего перехода к экономике замкнутого цикла, в частности, для наращивания доли вовлечения в хозяйственный оборот вторичных ресурсов, должны быть реализованы (очередность по степени их приоритетности)?</w:t>
      </w:r>
    </w:p>
    <w:p w:rsidR="00BB25D1" w:rsidRPr="00BB25D1" w:rsidRDefault="00BB25D1" w:rsidP="00BB25D1">
      <w:pPr>
        <w:widowControl w:val="0"/>
        <w:spacing w:line="27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BB25D1">
        <w:rPr>
          <w:rFonts w:ascii="Times New Roman" w:hAnsi="Times New Roman"/>
          <w:sz w:val="20"/>
          <w:szCs w:val="20"/>
        </w:rPr>
        <w:t>10.1. ______________________________________________________________</w:t>
      </w:r>
    </w:p>
    <w:p w:rsidR="00BB25D1" w:rsidRPr="00BB25D1" w:rsidRDefault="00BB25D1" w:rsidP="00BB25D1">
      <w:pPr>
        <w:widowControl w:val="0"/>
        <w:spacing w:line="27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BB25D1">
        <w:rPr>
          <w:rFonts w:ascii="Times New Roman" w:hAnsi="Times New Roman"/>
          <w:sz w:val="20"/>
          <w:szCs w:val="20"/>
        </w:rPr>
        <w:t>10.2. ______________________________________________________________</w:t>
      </w:r>
    </w:p>
    <w:p w:rsidR="00BB25D1" w:rsidRPr="00BB25D1" w:rsidRDefault="00BB25D1" w:rsidP="00BB25D1">
      <w:pPr>
        <w:widowControl w:val="0"/>
        <w:spacing w:line="276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BB25D1">
        <w:rPr>
          <w:rFonts w:ascii="Times New Roman" w:hAnsi="Times New Roman"/>
          <w:sz w:val="20"/>
          <w:szCs w:val="20"/>
        </w:rPr>
        <w:t>10.3. ______________________________________________________________</w:t>
      </w:r>
    </w:p>
    <w:p w:rsidR="00BB25D1" w:rsidRPr="00BB25D1" w:rsidRDefault="00BB25D1" w:rsidP="00BB25D1">
      <w:pPr>
        <w:widowControl w:val="0"/>
        <w:spacing w:line="276" w:lineRule="auto"/>
        <w:ind w:left="426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B25D1">
        <w:rPr>
          <w:rFonts w:ascii="Times New Roman" w:hAnsi="Times New Roman"/>
          <w:sz w:val="20"/>
          <w:szCs w:val="20"/>
        </w:rPr>
        <w:t>….</w:t>
      </w: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Существует</w:t>
      </w:r>
      <w:r w:rsidRPr="00BB25D1">
        <w:rPr>
          <w:rFonts w:ascii="Times New Roman" w:hAnsi="Times New Roman"/>
          <w:b/>
          <w:color w:val="000000" w:themeColor="text1"/>
          <w:sz w:val="20"/>
          <w:szCs w:val="18"/>
        </w:rPr>
        <w:t xml:space="preserve"> ли учет собственного производства и использования вторичных ресурсов или сырья в Вашей организации? </w:t>
      </w:r>
    </w:p>
    <w:p w:rsidR="00BB25D1" w:rsidRPr="00BB25D1" w:rsidRDefault="00BB25D1" w:rsidP="00BB25D1">
      <w:pPr>
        <w:spacing w:line="276" w:lineRule="auto"/>
        <w:ind w:left="426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Cs/>
          <w:color w:val="000000" w:themeColor="text1"/>
          <w:sz w:val="20"/>
          <w:szCs w:val="18"/>
        </w:rPr>
        <w:t>Да / Нет</w:t>
      </w: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Отчитывается ли Ваша компания по статистической форме № 1-ВС, в том числе за 2023 год?</w:t>
      </w:r>
    </w:p>
    <w:p w:rsidR="00BB25D1" w:rsidRPr="00BB25D1" w:rsidRDefault="00BB25D1" w:rsidP="00BB25D1">
      <w:pPr>
        <w:spacing w:line="276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color w:val="000000" w:themeColor="text1"/>
          <w:sz w:val="20"/>
          <w:szCs w:val="18"/>
        </w:rPr>
        <w:t>Да / Нет</w:t>
      </w:r>
    </w:p>
    <w:p w:rsidR="00BB25D1" w:rsidRPr="00BB25D1" w:rsidRDefault="00BB25D1" w:rsidP="00BB25D1">
      <w:pPr>
        <w:widowControl w:val="0"/>
        <w:numPr>
          <w:ilvl w:val="0"/>
          <w:numId w:val="1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  <w:sz w:val="20"/>
          <w:szCs w:val="18"/>
        </w:rPr>
      </w:pPr>
      <w:r w:rsidRPr="00BB25D1">
        <w:rPr>
          <w:rFonts w:ascii="Times New Roman" w:hAnsi="Times New Roman"/>
          <w:b/>
          <w:bCs/>
          <w:color w:val="000000" w:themeColor="text1"/>
          <w:sz w:val="20"/>
          <w:szCs w:val="18"/>
        </w:rPr>
        <w:t>С какими сложностями Вы сталкиваетесь при заполнении этой формы или иных форм статистической отчетности в части оборота отходов и вовлечения вторичных ресурсов в оборот?</w:t>
      </w:r>
    </w:p>
    <w:p w:rsidR="00CF2C00" w:rsidRPr="00BB25D1" w:rsidRDefault="00BB25D1" w:rsidP="00BB25D1">
      <w:pPr>
        <w:widowControl w:val="0"/>
        <w:jc w:val="both"/>
        <w:rPr>
          <w:rFonts w:ascii="Circe Bold" w:hAnsi="Circe Bold"/>
          <w:bCs/>
          <w:color w:val="000000" w:themeColor="text1"/>
          <w:sz w:val="16"/>
          <w:szCs w:val="18"/>
        </w:rPr>
      </w:pPr>
      <w:r w:rsidRPr="00BB25D1">
        <w:rPr>
          <w:rFonts w:ascii="Circe Bold" w:hAnsi="Circe Bold"/>
          <w:bCs/>
          <w:color w:val="000000" w:themeColor="text1"/>
          <w:sz w:val="16"/>
          <w:szCs w:val="18"/>
        </w:rPr>
        <w:t>_____________________________________________________________________________________________________________________</w:t>
      </w:r>
    </w:p>
    <w:sectPr w:rsidR="00CF2C00" w:rsidRPr="00BB25D1" w:rsidSect="00AE41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7A4" w:rsidRDefault="00F837A4" w:rsidP="00BB25D1">
      <w:r>
        <w:separator/>
      </w:r>
    </w:p>
  </w:endnote>
  <w:endnote w:type="continuationSeparator" w:id="0">
    <w:p w:rsidR="00F837A4" w:rsidRDefault="00F837A4" w:rsidP="00BB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irce Bold">
    <w:altName w:val="Calibri"/>
    <w:panose1 w:val="020B0604020202020204"/>
    <w:charset w:val="00"/>
    <w:family w:val="swiss"/>
    <w:pitch w:val="variable"/>
    <w:sig w:usb0="A00002FF" w:usb1="5000606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7A4" w:rsidRDefault="00F837A4" w:rsidP="00BB25D1">
      <w:r>
        <w:separator/>
      </w:r>
    </w:p>
  </w:footnote>
  <w:footnote w:type="continuationSeparator" w:id="0">
    <w:p w:rsidR="00F837A4" w:rsidRDefault="00F837A4" w:rsidP="00BB25D1">
      <w:r>
        <w:continuationSeparator/>
      </w:r>
    </w:p>
  </w:footnote>
  <w:footnote w:id="1">
    <w:p w:rsidR="00BB25D1" w:rsidRPr="00E87351" w:rsidRDefault="00BB25D1" w:rsidP="00BB25D1">
      <w:pPr>
        <w:pStyle w:val="a3"/>
        <w:rPr>
          <w:rFonts w:ascii="Times New Roman" w:hAnsi="Times New Roman" w:cs="Times New Roman"/>
        </w:rPr>
      </w:pPr>
      <w:r w:rsidRPr="00E87351">
        <w:rPr>
          <w:rStyle w:val="a6"/>
          <w:rFonts w:ascii="Times New Roman" w:hAnsi="Times New Roman" w:cs="Times New Roman"/>
        </w:rPr>
        <w:footnoteRef/>
      </w:r>
      <w:r w:rsidRPr="00E87351">
        <w:rPr>
          <w:rFonts w:ascii="Times New Roman" w:hAnsi="Times New Roman" w:cs="Times New Roman"/>
        </w:rPr>
        <w:t xml:space="preserve"> ИТС НДТ – информационно-технический справочник по наилучшим доступным технологиям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FE"/>
    <w:multiLevelType w:val="multilevel"/>
    <w:tmpl w:val="76A2A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962F8F"/>
    <w:multiLevelType w:val="hybridMultilevel"/>
    <w:tmpl w:val="AB24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9011F"/>
    <w:multiLevelType w:val="hybridMultilevel"/>
    <w:tmpl w:val="A684C000"/>
    <w:lvl w:ilvl="0" w:tplc="5EFE934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1A27"/>
    <w:multiLevelType w:val="multilevel"/>
    <w:tmpl w:val="76A2A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1D0649"/>
    <w:multiLevelType w:val="multilevel"/>
    <w:tmpl w:val="966EA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50609999">
    <w:abstractNumId w:val="2"/>
  </w:num>
  <w:num w:numId="2" w16cid:durableId="1775592736">
    <w:abstractNumId w:val="4"/>
  </w:num>
  <w:num w:numId="3" w16cid:durableId="114176701">
    <w:abstractNumId w:val="3"/>
  </w:num>
  <w:num w:numId="4" w16cid:durableId="1841043593">
    <w:abstractNumId w:val="0"/>
  </w:num>
  <w:num w:numId="5" w16cid:durableId="1067263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D1"/>
    <w:rsid w:val="000331B7"/>
    <w:rsid w:val="0015267C"/>
    <w:rsid w:val="002F32E4"/>
    <w:rsid w:val="00AE41DE"/>
    <w:rsid w:val="00BB25D1"/>
    <w:rsid w:val="00BF03ED"/>
    <w:rsid w:val="00CF2C00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191A75"/>
  <w15:chartTrackingRefBased/>
  <w15:docId w15:val="{2B4E73BD-ADDA-2E41-B383-967AD933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25D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25D1"/>
    <w:rPr>
      <w:sz w:val="20"/>
      <w:szCs w:val="20"/>
    </w:rPr>
  </w:style>
  <w:style w:type="table" w:styleId="a5">
    <w:name w:val="Table Grid"/>
    <w:aliases w:val="Формат таблиц для диплома,Леша,Сетка таблицы GR"/>
    <w:basedOn w:val="a1"/>
    <w:uiPriority w:val="59"/>
    <w:rsid w:val="00BB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BB2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8592</Characters>
  <Application>Microsoft Office Word</Application>
  <DocSecurity>0</DocSecurity>
  <Lines>71</Lines>
  <Paragraphs>20</Paragraphs>
  <ScaleCrop>false</ScaleCrop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Abramova</dc:creator>
  <cp:keywords/>
  <dc:description/>
  <cp:lastModifiedBy>Polina Abramova</cp:lastModifiedBy>
  <cp:revision>2</cp:revision>
  <dcterms:created xsi:type="dcterms:W3CDTF">2024-04-27T11:08:00Z</dcterms:created>
  <dcterms:modified xsi:type="dcterms:W3CDTF">2024-05-08T11:16:00Z</dcterms:modified>
</cp:coreProperties>
</file>